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подготовки к ГИА по литературе</w:t>
            </w:r>
          </w:p>
          <w:p>
            <w:pPr>
              <w:jc w:val="center"/>
              <w:spacing w:after="0" w:line="240" w:lineRule="auto"/>
              <w:rPr>
                <w:sz w:val="32"/>
                <w:szCs w:val="32"/>
              </w:rPr>
            </w:pPr>
            <w:r>
              <w:rPr>
                <w:rFonts w:ascii="Times New Roman" w:hAnsi="Times New Roman" w:cs="Times New Roman"/>
                <w:color w:val="#000000"/>
                <w:sz w:val="32"/>
                <w:szCs w:val="32"/>
              </w:rPr>
              <w:t> Б1.В.02.ДВ.02.01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подготовки к ГИА по литературе»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Б1.В.02.ДВ.02.01 «Организация подготовки к ГИА по литературе».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подготовки к ГИА по литературе»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учебному предмету, включая мотивацию учебно- познавательной деятельности, на основе использования современных предметно- методических подходов и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методику преподавания учебного предмета (закономерности процесса его преподавания; основные подходы, принципы, виды и приемы современных педагогических технологий); условия выбора образовательных технологий для достижения планируемых образовательных результатов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методы управления образовательными системами, методику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правила внутреннего распорядка; правила по охране труда и требования к безопасности образовательной среды</w:t>
            </w:r>
          </w:p>
        </w:tc>
      </w:tr>
      <w:tr>
        <w:trPr>
          <w:trHeight w:hRule="exact" w:val="2478.2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использовать достижения отечественной и зарубежной методической мысли, современных методических направлений и концепций для решения конкретных задач практического характера; разрабатывать учебную документацию; самостоятельно планировать учебную работу в рамках образовательной программы и осуществлять реализацию программ по учебному предмету; разрабатывать технологическую карту урока, включая постановку его задач и планирование учебных результатов; управлять 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trPr>
          <w:trHeight w:hRule="exact" w:val="2020.22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pPr>
              <w:jc w:val="left"/>
              <w:spacing w:after="0" w:line="240" w:lineRule="auto"/>
              <w:rPr>
                <w:sz w:val="24"/>
                <w:szCs w:val="24"/>
              </w:rPr>
            </w:pPr>
            <w:r>
              <w:rPr>
                <w:rFonts w:ascii="Times New Roman" w:hAnsi="Times New Roman" w:cs="Times New Roman"/>
                <w:color w:val="#000000"/>
                <w:sz w:val="24"/>
                <w:szCs w:val="24"/>
              </w:rPr>
              <w:t> применять современные образовательные технологии, включая информационные, а также цифровые образовательные ресурсы; организовать самостоятельную деятельность обучающихся, в том числе исследовательскую; использовать разнообразные формы, приемы, методы и средства обучения, в том числе по индивидуальным учебным планам,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средствами и методами профессиональной деятельности учителя; навыками составления диагностических материалов для выявления уровня сформированности образовательных результатов, планов-конспектов (технологических карт) по предмету</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основами работы с текстовыми редакторами, электронными таблицами, электронной почтой и браузерами, мультимедийным оборудованием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убеждения, аргументации своей позиции</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обеспечить педагогическое сопровождение достижения личностных, метапредметных и предметных результатов обучения на основе учета индивидуальных особенностей обучающихся, включая детей с ОВЗ</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место преподаваемого предмета в структуре учебной деятельности; возможности предмета по формированию УУД; специальные приемы вовлечения в учебную деятельность по предмету обучающихся с разными образовательными потребностями; способы</w:t>
            </w:r>
          </w:p>
          <w:p>
            <w:pPr>
              <w:jc w:val="left"/>
              <w:spacing w:after="0" w:line="240" w:lineRule="auto"/>
              <w:rPr>
                <w:sz w:val="24"/>
                <w:szCs w:val="24"/>
              </w:rPr>
            </w:pPr>
            <w:r>
              <w:rPr>
                <w:rFonts w:ascii="Times New Roman" w:hAnsi="Times New Roman" w:cs="Times New Roman"/>
                <w:color w:val="#000000"/>
                <w:sz w:val="24"/>
                <w:szCs w:val="24"/>
              </w:rPr>
              <w:t> установления контактов с обучающимися разного возраста и их родителями (законными представителями), другими педагогическими и иными работниками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и технологии поликультурного, дифференцированного и развивающего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использовать и апробировать специальные подходы к обучению в целях включения в образовательный процесс всех категорий обучающихся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применять психолого-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 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приемами оценки образовательных результатов: формируемых в преподаваемом предмете предметных и метапредметных компетенций, а также осуществлять (совместно с психологом) мониторинг личностных характеристик</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психологию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уметь проектировать индивидуальные образовательные маршруты в соответствии с образовательными потребностями обучающихся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методами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ПК-7.5 владеть методами влияния и управления командой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Б1.В.02.ДВ.02.01 «Организация подготовки к ГИА по литературе» относится к обязательной части, является дисциплиной Блока Б1. «Дисциплины (модули)». Модуль "Основы предметных знаний по литературе"</w:t>
            </w:r>
          </w:p>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299"/>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9739.92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Текстовая деятельность в разных сферах общения</w:t>
            </w:r>
          </w:p>
          <w:p>
            <w:pPr>
              <w:jc w:val="center"/>
              <w:spacing w:after="0" w:line="240" w:lineRule="auto"/>
              <w:rPr>
                <w:sz w:val="22"/>
                <w:szCs w:val="22"/>
              </w:rPr>
            </w:pPr>
            <w:r>
              <w:rPr>
                <w:rFonts w:ascii="Times New Roman" w:hAnsi="Times New Roman" w:cs="Times New Roman"/>
                <w:color w:val="#000000"/>
                <w:sz w:val="22"/>
                <w:szCs w:val="22"/>
              </w:rPr>
              <w:t> Теория литературы</w:t>
            </w:r>
          </w:p>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История русской литературы</w:t>
            </w:r>
          </w:p>
          <w:p>
            <w:pPr>
              <w:jc w:val="center"/>
              <w:spacing w:after="0" w:line="240" w:lineRule="auto"/>
              <w:rPr>
                <w:sz w:val="22"/>
                <w:szCs w:val="22"/>
              </w:rPr>
            </w:pPr>
            <w:r>
              <w:rPr>
                <w:rFonts w:ascii="Times New Roman" w:hAnsi="Times New Roman" w:cs="Times New Roman"/>
                <w:color w:val="#000000"/>
                <w:sz w:val="22"/>
                <w:szCs w:val="22"/>
              </w:rPr>
              <w:t> Методология литературоведческих исследований</w:t>
            </w:r>
          </w:p>
          <w:p>
            <w:pPr>
              <w:jc w:val="center"/>
              <w:spacing w:after="0" w:line="240" w:lineRule="auto"/>
              <w:rPr>
                <w:sz w:val="22"/>
                <w:szCs w:val="22"/>
              </w:rPr>
            </w:pPr>
            <w:r>
              <w:rPr>
                <w:rFonts w:ascii="Times New Roman" w:hAnsi="Times New Roman" w:cs="Times New Roman"/>
                <w:color w:val="#000000"/>
                <w:sz w:val="22"/>
                <w:szCs w:val="22"/>
              </w:rPr>
              <w:t> Актуальные проблемы преподавания литературы</w:t>
            </w:r>
          </w:p>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литературы</w:t>
            </w:r>
          </w:p>
          <w:p>
            <w:pPr>
              <w:jc w:val="center"/>
              <w:spacing w:after="0" w:line="240" w:lineRule="auto"/>
              <w:rPr>
                <w:sz w:val="22"/>
                <w:szCs w:val="22"/>
              </w:rPr>
            </w:pPr>
            <w:r>
              <w:rPr>
                <w:rFonts w:ascii="Times New Roman" w:hAnsi="Times New Roman" w:cs="Times New Roman"/>
                <w:color w:val="#000000"/>
                <w:sz w:val="22"/>
                <w:szCs w:val="22"/>
              </w:rPr>
              <w:t> Учебная практика по методике преподавания русского языка и литературы</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История зарубежной литературы</w:t>
            </w:r>
          </w:p>
          <w:p>
            <w:pPr>
              <w:jc w:val="center"/>
              <w:spacing w:after="0" w:line="240" w:lineRule="auto"/>
              <w:rPr>
                <w:sz w:val="22"/>
                <w:szCs w:val="22"/>
              </w:rPr>
            </w:pPr>
            <w:r>
              <w:rPr>
                <w:rFonts w:ascii="Times New Roman" w:hAnsi="Times New Roman" w:cs="Times New Roman"/>
                <w:color w:val="#000000"/>
                <w:sz w:val="22"/>
                <w:szCs w:val="22"/>
              </w:rPr>
              <w:t> Профессиональная этика и деловой этикет</w:t>
            </w:r>
          </w:p>
          <w:p>
            <w:pPr>
              <w:jc w:val="center"/>
              <w:spacing w:after="0" w:line="240" w:lineRule="auto"/>
              <w:rPr>
                <w:sz w:val="22"/>
                <w:szCs w:val="22"/>
              </w:rPr>
            </w:pPr>
            <w:r>
              <w:rPr>
                <w:rFonts w:ascii="Times New Roman" w:hAnsi="Times New Roman" w:cs="Times New Roman"/>
                <w:color w:val="#000000"/>
                <w:sz w:val="22"/>
                <w:szCs w:val="22"/>
              </w:rPr>
              <w:t> Спецсеминар по отечественной и</w:t>
            </w:r>
          </w:p>
          <w:p>
            <w:pPr>
              <w:jc w:val="center"/>
              <w:spacing w:after="0" w:line="240" w:lineRule="auto"/>
              <w:rPr>
                <w:sz w:val="22"/>
                <w:szCs w:val="22"/>
              </w:rPr>
            </w:pPr>
            <w:r>
              <w:rPr>
                <w:rFonts w:ascii="Times New Roman" w:hAnsi="Times New Roman" w:cs="Times New Roman"/>
                <w:color w:val="#000000"/>
                <w:sz w:val="22"/>
                <w:szCs w:val="22"/>
              </w:rPr>
              <w:t> зарубежной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Спецсеминар по русской литературе</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Детская литература</w:t>
            </w:r>
          </w:p>
          <w:p>
            <w:pPr>
              <w:jc w:val="center"/>
              <w:spacing w:after="0" w:line="240" w:lineRule="auto"/>
              <w:rPr>
                <w:sz w:val="22"/>
                <w:szCs w:val="22"/>
              </w:rPr>
            </w:pPr>
            <w:r>
              <w:rPr>
                <w:rFonts w:ascii="Times New Roman" w:hAnsi="Times New Roman" w:cs="Times New Roman"/>
                <w:color w:val="#000000"/>
                <w:sz w:val="22"/>
                <w:szCs w:val="22"/>
              </w:rPr>
              <w:t> Литературоведческий анализ художественного текста</w:t>
            </w:r>
          </w:p>
          <w:p>
            <w:pPr>
              <w:jc w:val="center"/>
              <w:spacing w:after="0" w:line="240" w:lineRule="auto"/>
              <w:rPr>
                <w:sz w:val="22"/>
                <w:szCs w:val="22"/>
              </w:rPr>
            </w:pPr>
            <w:r>
              <w:rPr>
                <w:rFonts w:ascii="Times New Roman" w:hAnsi="Times New Roman" w:cs="Times New Roman"/>
                <w:color w:val="#000000"/>
                <w:sz w:val="22"/>
                <w:szCs w:val="22"/>
              </w:rPr>
              <w:t> Разработка элективных курсов по литературе</w:t>
            </w:r>
          </w:p>
          <w:p>
            <w:pPr>
              <w:jc w:val="center"/>
              <w:spacing w:after="0" w:line="240" w:lineRule="auto"/>
              <w:rPr>
                <w:sz w:val="22"/>
                <w:szCs w:val="22"/>
              </w:rPr>
            </w:pPr>
            <w:r>
              <w:rPr>
                <w:rFonts w:ascii="Times New Roman" w:hAnsi="Times New Roman" w:cs="Times New Roman"/>
                <w:color w:val="#000000"/>
                <w:sz w:val="22"/>
                <w:szCs w:val="22"/>
              </w:rPr>
              <w:t> Литературоведение. Текстология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ПК-7</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10</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Теоретические основания проведения ЕГЭ. Основные требования к уровню подготовки учащихся к ЕГЭ.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Проблемы подготовки к ЕГЭ в общеобразовательном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Структура и содержание контрольно- измерительных материалов ЕГЭ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Критерии оценивания ответов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Методика подготовки обучающихся к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Теоретические основания проведения ЕГЭ. Основные требования к уровню подготовки учащихся к ЕГЭ.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Проблемы подготовки к ЕГЭ в общеобразовательном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Структура и содержание контрольно- измерительных материалов ЕГЭ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Критерии оценивания ответов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Методика подготовки обучающихся к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Теоретические основания проведения ЕГЭ. Основные требования к уровню подготовки учащихся к ЕГЭ.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Проблемы подготовки к ЕГЭ в общеобразовательном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Структура и содержание контрольно- измерительных материалов ЕГЭ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Критерии оценивания ответов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Методика подготовки обучающихся к ЕГЭ и ОГЭ по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Теоретические основания проведения ЕГЭ. Основные требования к уровню подготовки учащихся к ЕГЭ.</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Нормативно-правовая база ГИА. Цели ГИА. Правила для участников единого государственного экзамена. Методика разработки и применения тестов. Обработка алгоритма выполнения тестовых заданий ГИА. Изменение подхода к уровню учебных достижений.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Проблемы подготовки к ЕГЭ в общеобразовательном учреждении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Три основные группы проблем: отсутствие необходимого уровня предметной подготовки; отсутствие необходимого уровня тестовой культуры; эмоциональные моменты, не позволяющие демонстрировать сформированные навыки в непривычных условиях. Описание бланков регистрации и ответов участника ГИА. Правила заполнения бланков ГИА.  Инструкция по выполнению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Структура и содержание контрольно-измерительных материалов ЕГЭ по литературе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литературе. Спецификация контрольных измерительных материалов для проведения ЕГЭ по литературе. Общая характеристика заданий с кратким ответом. Общая характеристика заданий с развернутым ответом.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Критерии оценивания ответов ЕГЭ и ОГЭ по литературе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уровню подготовки выпускников общеобразовательных учреждений для проведения основного и единого государственных экзаменов по литературе. Критерии оценивания ответов.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Методика подготовки обучающихся к ЕГЭ и ОГЭ по литературе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проведения уроков, консультаций. Индивидуальная и групповая формы работы при подготовке к ГИА. Составляющие компоненты подготовки к ГИА.</w:t>
            </w:r>
          </w:p>
          <w:p>
            <w:pPr>
              <w:jc w:val="both"/>
              <w:spacing w:after="0" w:line="240" w:lineRule="auto"/>
              <w:rPr>
                <w:sz w:val="24"/>
                <w:szCs w:val="24"/>
              </w:rPr>
            </w:pPr>
            <w:r>
              <w:rPr>
                <w:rFonts w:ascii="Times New Roman" w:hAnsi="Times New Roman" w:cs="Times New Roman"/>
                <w:color w:val="#000000"/>
                <w:sz w:val="24"/>
                <w:szCs w:val="24"/>
              </w:rPr>
              <w:t> Применение интерактивных методик на уроках литературы для подготовки к выполнению заданий с развернутым ответом.</w:t>
            </w:r>
          </w:p>
          <w:p>
            <w:pPr>
              <w:jc w:val="both"/>
              <w:spacing w:after="0" w:line="240" w:lineRule="auto"/>
              <w:rPr>
                <w:sz w:val="24"/>
                <w:szCs w:val="24"/>
              </w:rPr>
            </w:pPr>
            <w:r>
              <w:rPr>
                <w:rFonts w:ascii="Times New Roman" w:hAnsi="Times New Roman" w:cs="Times New Roman"/>
                <w:color w:val="#000000"/>
                <w:sz w:val="24"/>
                <w:szCs w:val="24"/>
              </w:rPr>
              <w:t> Применение электронных образовательных ресурсов для подготовки к ГИА. Использование презентаций для подготовки к ГИА.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Теоретические основания проведения ЕГЭ. Основные требования к уровню подготовки учащихся к ЕГЭ.</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Проблемы подготовки к ЕГЭ в общеобразовательном учреждении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Структура и содержание контрольно-измерительных материалов ЕГЭ по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Критерии оценивания ответов ЕГЭ и ОГЭ по литературе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Методика подготовки обучающихся к ЕГЭ и ОГЭ по литературе</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подготовки к ГИА по литературе»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уроки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основной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Ядровская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978-5-534-06184-0.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https://urait.ru/bcode/493782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978-5-534-06832-0.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https://urait.ru/bcode/494076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учебная</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Ланин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https://urait.ru/bcode/493244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Преподавание</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Преподавание</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978-5-7996-1339-6.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http://www.iprbookshop.ru/65967.html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Персоналии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Антипова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БелоусоваЕ.И.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Журавлёв.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http://www.iprbookshop.ru/79047.html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61.24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иЛ)(24)_plx_Организация подготовки к ГИА по литературе</dc:title>
  <dc:creator>FastReport.NET</dc:creator>
</cp:coreProperties>
</file>